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AC3" w:rsidRDefault="00E02AC3" w:rsidP="00E02AC3">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F350F06" wp14:editId="118E4A6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AC3" w:rsidRDefault="00E02AC3" w:rsidP="00E02AC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02AC3" w:rsidRDefault="00E02AC3" w:rsidP="00E02AC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02AC3" w:rsidRDefault="00E02AC3" w:rsidP="00E02AC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02AC3" w:rsidRDefault="00E02AC3" w:rsidP="00E02AC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02AC3" w:rsidRDefault="00E02AC3" w:rsidP="00E02AC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02AC3" w:rsidRDefault="00E02AC3" w:rsidP="00E02AC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1AC8F024" wp14:editId="29B15AB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796199" w:rsidRPr="00E02AC3" w:rsidRDefault="00E02AC3" w:rsidP="00796199">
      <w:pPr>
        <w:shd w:val="clear" w:color="auto" w:fill="FFFFFF"/>
        <w:spacing w:after="0" w:line="240" w:lineRule="auto"/>
        <w:jc w:val="center"/>
        <w:rPr>
          <w:rFonts w:ascii="Times New Roman" w:eastAsia="Times New Roman" w:hAnsi="Times New Roman" w:cs="Times New Roman"/>
          <w:b/>
          <w:color w:val="050505"/>
          <w:sz w:val="27"/>
          <w:szCs w:val="27"/>
          <w:lang w:val="uk-UA" w:eastAsia="ru-RU"/>
        </w:rPr>
      </w:pPr>
      <w:bookmarkStart w:id="1" w:name="_GoBack"/>
      <w:r w:rsidRPr="00E02AC3">
        <w:rPr>
          <w:rFonts w:ascii="Times New Roman" w:eastAsia="Times New Roman" w:hAnsi="Times New Roman" w:cs="Times New Roman"/>
          <w:b/>
          <w:color w:val="050505"/>
          <w:sz w:val="27"/>
          <w:szCs w:val="27"/>
          <w:lang w:val="uk-UA" w:eastAsia="ru-RU"/>
        </w:rPr>
        <w:t>Які с</w:t>
      </w:r>
      <w:r w:rsidR="00796199" w:rsidRPr="00E02AC3">
        <w:rPr>
          <w:rFonts w:ascii="Times New Roman" w:eastAsia="Times New Roman" w:hAnsi="Times New Roman" w:cs="Times New Roman"/>
          <w:b/>
          <w:color w:val="050505"/>
          <w:sz w:val="27"/>
          <w:szCs w:val="27"/>
          <w:lang w:val="uk-UA" w:eastAsia="ru-RU"/>
        </w:rPr>
        <w:t>уми</w:t>
      </w:r>
      <w:r w:rsidRPr="00E02AC3">
        <w:rPr>
          <w:rFonts w:ascii="Times New Roman" w:eastAsia="Times New Roman" w:hAnsi="Times New Roman" w:cs="Times New Roman"/>
          <w:b/>
          <w:color w:val="050505"/>
          <w:sz w:val="27"/>
          <w:szCs w:val="27"/>
          <w:lang w:val="uk-UA" w:eastAsia="ru-RU"/>
        </w:rPr>
        <w:t xml:space="preserve"> </w:t>
      </w:r>
      <w:r w:rsidR="00796199" w:rsidRPr="00E02AC3">
        <w:rPr>
          <w:rFonts w:ascii="Times New Roman" w:eastAsia="Times New Roman" w:hAnsi="Times New Roman" w:cs="Times New Roman"/>
          <w:b/>
          <w:color w:val="050505"/>
          <w:sz w:val="27"/>
          <w:szCs w:val="27"/>
          <w:lang w:val="uk-UA" w:eastAsia="ru-RU"/>
        </w:rPr>
        <w:t>не включаються до доходу ФОП</w:t>
      </w:r>
    </w:p>
    <w:p w:rsidR="00796199" w:rsidRPr="00E02AC3" w:rsidRDefault="00796199" w:rsidP="00796199">
      <w:pPr>
        <w:shd w:val="clear" w:color="auto" w:fill="FFFFFF"/>
        <w:spacing w:after="0" w:line="240" w:lineRule="auto"/>
        <w:jc w:val="center"/>
        <w:rPr>
          <w:rFonts w:ascii="Times New Roman" w:eastAsia="Times New Roman" w:hAnsi="Times New Roman" w:cs="Times New Roman"/>
          <w:b/>
          <w:color w:val="050505"/>
          <w:sz w:val="27"/>
          <w:szCs w:val="27"/>
          <w:lang w:val="uk-UA" w:eastAsia="ru-RU"/>
        </w:rPr>
      </w:pPr>
      <w:r w:rsidRPr="00E02AC3">
        <w:rPr>
          <w:rFonts w:ascii="Times New Roman" w:eastAsia="Times New Roman" w:hAnsi="Times New Roman" w:cs="Times New Roman"/>
          <w:b/>
          <w:color w:val="050505"/>
          <w:sz w:val="27"/>
          <w:szCs w:val="27"/>
          <w:lang w:val="uk-UA" w:eastAsia="ru-RU"/>
        </w:rPr>
        <w:t>– платника єдиного податку першої</w:t>
      </w:r>
      <w:r w:rsidR="00E02AC3">
        <w:rPr>
          <w:rFonts w:ascii="Times New Roman" w:eastAsia="Times New Roman" w:hAnsi="Times New Roman" w:cs="Times New Roman"/>
          <w:b/>
          <w:color w:val="050505"/>
          <w:sz w:val="27"/>
          <w:szCs w:val="27"/>
          <w:lang w:val="uk-UA" w:eastAsia="ru-RU"/>
        </w:rPr>
        <w:t xml:space="preserve"> </w:t>
      </w:r>
      <w:r w:rsidRPr="00E02AC3">
        <w:rPr>
          <w:rFonts w:ascii="Times New Roman" w:eastAsia="Times New Roman" w:hAnsi="Times New Roman" w:cs="Times New Roman"/>
          <w:b/>
          <w:color w:val="050505"/>
          <w:sz w:val="27"/>
          <w:szCs w:val="27"/>
          <w:lang w:val="uk-UA" w:eastAsia="ru-RU"/>
        </w:rPr>
        <w:t>- третьої груп</w:t>
      </w:r>
      <w:r w:rsidR="00E02AC3" w:rsidRPr="00E02AC3">
        <w:rPr>
          <w:rFonts w:ascii="Times New Roman" w:eastAsia="Times New Roman" w:hAnsi="Times New Roman" w:cs="Times New Roman"/>
          <w:b/>
          <w:color w:val="050505"/>
          <w:sz w:val="27"/>
          <w:szCs w:val="27"/>
          <w:lang w:val="uk-UA" w:eastAsia="ru-RU"/>
        </w:rPr>
        <w:t>?</w:t>
      </w:r>
    </w:p>
    <w:p w:rsidR="00796199" w:rsidRPr="00E02AC3" w:rsidRDefault="00796199" w:rsidP="00796199">
      <w:pPr>
        <w:shd w:val="clear" w:color="auto" w:fill="FFFFFF"/>
        <w:spacing w:after="0" w:line="240" w:lineRule="auto"/>
        <w:rPr>
          <w:rFonts w:ascii="Times New Roman" w:eastAsia="Times New Roman" w:hAnsi="Times New Roman" w:cs="Times New Roman"/>
          <w:color w:val="050505"/>
          <w:sz w:val="27"/>
          <w:szCs w:val="27"/>
          <w:lang w:val="uk-UA" w:eastAsia="ru-RU"/>
        </w:rPr>
      </w:pP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xml:space="preserve">Головне управління ДПС у </w:t>
      </w:r>
      <w:r w:rsidR="00E02AC3" w:rsidRPr="00E02AC3">
        <w:rPr>
          <w:rFonts w:ascii="Times New Roman" w:eastAsia="Times New Roman" w:hAnsi="Times New Roman" w:cs="Times New Roman"/>
          <w:color w:val="050505"/>
          <w:sz w:val="27"/>
          <w:szCs w:val="27"/>
          <w:lang w:val="uk-UA" w:eastAsia="ru-RU"/>
        </w:rPr>
        <w:t>Черка</w:t>
      </w:r>
      <w:r w:rsidRPr="00E02AC3">
        <w:rPr>
          <w:rFonts w:ascii="Times New Roman" w:eastAsia="Times New Roman" w:hAnsi="Times New Roman" w:cs="Times New Roman"/>
          <w:color w:val="050505"/>
          <w:sz w:val="27"/>
          <w:szCs w:val="27"/>
          <w:lang w:val="uk-UA" w:eastAsia="ru-RU"/>
        </w:rPr>
        <w:t>ській області інформує, що відповідно до п. 292.11 ст. 292 Податкового кодексу України (далі – ПКУ) до складу доходу, визначеного ст. 292 ПКУ, не включаються:</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суми податку на додану вартість;</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суми фінансової допомоги, наданої на поворотній основі, отриманої та поверненої протягом 12 календарних місяців з дня її отримання, та суми кредитів;</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суми коштів цільового призначення, що надійшли від Пенсійного фонду та інших фондів загальнообов’язкового державного соціального страхування, з бюджетів або державних цільових фондів, у тому числі в межах державних або місцевих програм;</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суми коштів (аванс, передоплата), що повертаються покупцю товару (робіт, послуг) – платнику єдиного податку та/або повертаються платником єдиного податку покупцю товару (робіт, послуг), якщо таке повернення відбувається внаслідок повернення товару, розірвання договору або за листом-заявою про повернення коштів;</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суми коштів, що надійшли як оплата товарів (робіт, послуг), реалізованих у період сплати інших податків і зборів, встановлених ПКУ, вартість яких була включена до загального оподатковуваного доходу фізичної особи – підприємця;</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суми податку на додану вартість, що надійшли у вартості товарів (виконаних робіт, наданих послуг), відвантажених (поставлених) у період сплати інших податків і зборів, встановлених ПКУ;</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суми коштів у частині надмірно сплачених податків і зборів, встановлених ПКУ, та суми єдиного внеску на загальнообов’язкове державне соціальне страхування, що повертаються платнику єдиного податку з бюджетів або державних цільових фондів;</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xml:space="preserve">- безоплатно надані (передані) особою, уповноваженою на здійснення </w:t>
      </w:r>
      <w:proofErr w:type="spellStart"/>
      <w:r w:rsidRPr="00E02AC3">
        <w:rPr>
          <w:rFonts w:ascii="Times New Roman" w:eastAsia="Times New Roman" w:hAnsi="Times New Roman" w:cs="Times New Roman"/>
          <w:color w:val="050505"/>
          <w:sz w:val="27"/>
          <w:szCs w:val="27"/>
          <w:lang w:val="uk-UA" w:eastAsia="ru-RU"/>
        </w:rPr>
        <w:t>закупівель</w:t>
      </w:r>
      <w:proofErr w:type="spellEnd"/>
      <w:r w:rsidRPr="00E02AC3">
        <w:rPr>
          <w:rFonts w:ascii="Times New Roman" w:eastAsia="Times New Roman" w:hAnsi="Times New Roman" w:cs="Times New Roman"/>
          <w:color w:val="050505"/>
          <w:sz w:val="27"/>
          <w:szCs w:val="27"/>
          <w:lang w:val="uk-UA" w:eastAsia="ru-RU"/>
        </w:rPr>
        <w:t xml:space="preserve"> у сфері охорони здоров’я, лікарських засобів, медичних виробів та допоміжних засобів до них, на користь суб’єктів господарювання, які мають ліцензію на провадження господарської діяльності з медичної практики для виконання програм та здійснення централізованих заходів з охорони здоров’я, за умови якщо:</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1) такі товари на день укладення договору про їх закупівлю були включені до Переліку лікарських засобів, медичних виробів та допоміжних засобів до них, що закуповуються за кошти державного бюджету для виконання програм та здійснення централізованих заходів з охорони здоров’я, затвердженого Кабінетом Міністрів України, та</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xml:space="preserve">2) такі товари були придбані особою, уповноваженою на здійснення </w:t>
      </w:r>
      <w:proofErr w:type="spellStart"/>
      <w:r w:rsidRPr="00E02AC3">
        <w:rPr>
          <w:rFonts w:ascii="Times New Roman" w:eastAsia="Times New Roman" w:hAnsi="Times New Roman" w:cs="Times New Roman"/>
          <w:color w:val="050505"/>
          <w:sz w:val="27"/>
          <w:szCs w:val="27"/>
          <w:lang w:val="uk-UA" w:eastAsia="ru-RU"/>
        </w:rPr>
        <w:t>закупівель</w:t>
      </w:r>
      <w:proofErr w:type="spellEnd"/>
      <w:r w:rsidRPr="00E02AC3">
        <w:rPr>
          <w:rFonts w:ascii="Times New Roman" w:eastAsia="Times New Roman" w:hAnsi="Times New Roman" w:cs="Times New Roman"/>
          <w:color w:val="050505"/>
          <w:sz w:val="27"/>
          <w:szCs w:val="27"/>
          <w:lang w:val="uk-UA" w:eastAsia="ru-RU"/>
        </w:rPr>
        <w:t xml:space="preserve"> у сфері охорони здоров’я, за рахунок коштів державного бюджету, </w:t>
      </w:r>
      <w:r w:rsidRPr="00E02AC3">
        <w:rPr>
          <w:rFonts w:ascii="Times New Roman" w:eastAsia="Times New Roman" w:hAnsi="Times New Roman" w:cs="Times New Roman"/>
          <w:color w:val="050505"/>
          <w:sz w:val="27"/>
          <w:szCs w:val="27"/>
          <w:lang w:val="uk-UA" w:eastAsia="ru-RU"/>
        </w:rPr>
        <w:lastRenderedPageBreak/>
        <w:t>передбачених для виконання програм та здійснення централізованих заходів з охорони здоров’я або за кошти грантів (</w:t>
      </w:r>
      <w:proofErr w:type="spellStart"/>
      <w:r w:rsidRPr="00E02AC3">
        <w:rPr>
          <w:rFonts w:ascii="Times New Roman" w:eastAsia="Times New Roman" w:hAnsi="Times New Roman" w:cs="Times New Roman"/>
          <w:color w:val="050505"/>
          <w:sz w:val="27"/>
          <w:szCs w:val="27"/>
          <w:lang w:val="uk-UA" w:eastAsia="ru-RU"/>
        </w:rPr>
        <w:t>субгрантів</w:t>
      </w:r>
      <w:proofErr w:type="spellEnd"/>
      <w:r w:rsidRPr="00E02AC3">
        <w:rPr>
          <w:rFonts w:ascii="Times New Roman" w:eastAsia="Times New Roman" w:hAnsi="Times New Roman" w:cs="Times New Roman"/>
          <w:color w:val="050505"/>
          <w:sz w:val="27"/>
          <w:szCs w:val="27"/>
          <w:lang w:val="uk-UA" w:eastAsia="ru-RU"/>
        </w:rPr>
        <w:t>) для виконання програм Глобального фонду для боротьби із СНІДом, туберкульозом та малярією в Україні відповідно до закону.</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У разі нецільового використання лікарських засобів, медичних виробів та допоміжних засобів до них платник податку зобов’язаний збільшити податкові зобов’язання за наслідками податкового періоду, на який припадає таке порушення, на суму єдиного податку за ставкою, передбаченою п. 293.5 ст. 293 ПКУ.</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xml:space="preserve">Крім того, п. 7 </w:t>
      </w:r>
      <w:proofErr w:type="spellStart"/>
      <w:r w:rsidRPr="00E02AC3">
        <w:rPr>
          <w:rFonts w:ascii="Times New Roman" w:eastAsia="Times New Roman" w:hAnsi="Times New Roman" w:cs="Times New Roman"/>
          <w:color w:val="050505"/>
          <w:sz w:val="27"/>
          <w:szCs w:val="27"/>
          <w:lang w:val="uk-UA" w:eastAsia="ru-RU"/>
        </w:rPr>
        <w:t>підрозд</w:t>
      </w:r>
      <w:proofErr w:type="spellEnd"/>
      <w:r w:rsidRPr="00E02AC3">
        <w:rPr>
          <w:rFonts w:ascii="Times New Roman" w:eastAsia="Times New Roman" w:hAnsi="Times New Roman" w:cs="Times New Roman"/>
          <w:color w:val="050505"/>
          <w:sz w:val="27"/>
          <w:szCs w:val="27"/>
          <w:lang w:val="uk-UA" w:eastAsia="ru-RU"/>
        </w:rPr>
        <w:t xml:space="preserve">. 8 </w:t>
      </w:r>
      <w:proofErr w:type="spellStart"/>
      <w:r w:rsidRPr="00E02AC3">
        <w:rPr>
          <w:rFonts w:ascii="Times New Roman" w:eastAsia="Times New Roman" w:hAnsi="Times New Roman" w:cs="Times New Roman"/>
          <w:color w:val="050505"/>
          <w:sz w:val="27"/>
          <w:szCs w:val="27"/>
          <w:lang w:val="uk-UA" w:eastAsia="ru-RU"/>
        </w:rPr>
        <w:t>розд</w:t>
      </w:r>
      <w:proofErr w:type="spellEnd"/>
      <w:r w:rsidRPr="00E02AC3">
        <w:rPr>
          <w:rFonts w:ascii="Times New Roman" w:eastAsia="Times New Roman" w:hAnsi="Times New Roman" w:cs="Times New Roman"/>
          <w:color w:val="050505"/>
          <w:sz w:val="27"/>
          <w:szCs w:val="27"/>
          <w:lang w:val="uk-UA" w:eastAsia="ru-RU"/>
        </w:rPr>
        <w:t xml:space="preserve">. XX «Перехідні положення» ПКУ визначено, що до складу доходу платника єдиного податку – фізичної особи – підприємця не включається сума коштів, яка надійшла як одноразова матеріальна допомога застрахованим особам, що виплачується такому платнику за рахунок коштів державного бюджету відповідно до ст. 2 Закону України від 04 грудня 2020 року № 1072-IX «Про соціальну підтримку застрахованих осіб та суб’єктів господарювання на період здійснення обмежувальних протиепідемічних заходів, запроваджених з метою запобігання поширенню на території України гострої респіраторної хвороби COVID-19, спричиненої </w:t>
      </w:r>
      <w:proofErr w:type="spellStart"/>
      <w:r w:rsidRPr="00E02AC3">
        <w:rPr>
          <w:rFonts w:ascii="Times New Roman" w:eastAsia="Times New Roman" w:hAnsi="Times New Roman" w:cs="Times New Roman"/>
          <w:color w:val="050505"/>
          <w:sz w:val="27"/>
          <w:szCs w:val="27"/>
          <w:lang w:val="uk-UA" w:eastAsia="ru-RU"/>
        </w:rPr>
        <w:t>коронавірусом</w:t>
      </w:r>
      <w:proofErr w:type="spellEnd"/>
      <w:r w:rsidRPr="00E02AC3">
        <w:rPr>
          <w:rFonts w:ascii="Times New Roman" w:eastAsia="Times New Roman" w:hAnsi="Times New Roman" w:cs="Times New Roman"/>
          <w:color w:val="050505"/>
          <w:sz w:val="27"/>
          <w:szCs w:val="27"/>
          <w:lang w:val="uk-UA" w:eastAsia="ru-RU"/>
        </w:rPr>
        <w:t xml:space="preserve"> SARS-CoV-2».</w:t>
      </w:r>
    </w:p>
    <w:p w:rsidR="00796199" w:rsidRPr="00E02AC3" w:rsidRDefault="00796199" w:rsidP="00796199">
      <w:pPr>
        <w:shd w:val="clear" w:color="auto" w:fill="FFFFFF"/>
        <w:spacing w:after="0" w:line="240" w:lineRule="auto"/>
        <w:ind w:firstLine="567"/>
        <w:jc w:val="both"/>
        <w:rPr>
          <w:rFonts w:ascii="Times New Roman" w:eastAsia="Times New Roman" w:hAnsi="Times New Roman" w:cs="Times New Roman"/>
          <w:color w:val="050505"/>
          <w:sz w:val="27"/>
          <w:szCs w:val="27"/>
          <w:lang w:val="uk-UA" w:eastAsia="ru-RU"/>
        </w:rPr>
      </w:pPr>
      <w:r w:rsidRPr="00E02AC3">
        <w:rPr>
          <w:rFonts w:ascii="Times New Roman" w:eastAsia="Times New Roman" w:hAnsi="Times New Roman" w:cs="Times New Roman"/>
          <w:color w:val="050505"/>
          <w:sz w:val="27"/>
          <w:szCs w:val="27"/>
          <w:lang w:val="uk-UA" w:eastAsia="ru-RU"/>
        </w:rPr>
        <w:t xml:space="preserve">Законом України від 30 листопада 2021 року № 1914-ІХ «Про внесення змін до Податкового кодексу України та інших законодавчих актів України щодо забезпечення збалансованості бюджетних надходжень», який набрав чинності 01.01.2022, </w:t>
      </w:r>
      <w:proofErr w:type="spellStart"/>
      <w:r w:rsidRPr="00E02AC3">
        <w:rPr>
          <w:rFonts w:ascii="Times New Roman" w:eastAsia="Times New Roman" w:hAnsi="Times New Roman" w:cs="Times New Roman"/>
          <w:color w:val="050505"/>
          <w:sz w:val="27"/>
          <w:szCs w:val="27"/>
          <w:lang w:val="uk-UA" w:eastAsia="ru-RU"/>
        </w:rPr>
        <w:t>підрозд</w:t>
      </w:r>
      <w:proofErr w:type="spellEnd"/>
      <w:r w:rsidRPr="00E02AC3">
        <w:rPr>
          <w:rFonts w:ascii="Times New Roman" w:eastAsia="Times New Roman" w:hAnsi="Times New Roman" w:cs="Times New Roman"/>
          <w:color w:val="050505"/>
          <w:sz w:val="27"/>
          <w:szCs w:val="27"/>
          <w:lang w:val="uk-UA" w:eastAsia="ru-RU"/>
        </w:rPr>
        <w:t xml:space="preserve">. 8 </w:t>
      </w:r>
      <w:proofErr w:type="spellStart"/>
      <w:r w:rsidRPr="00E02AC3">
        <w:rPr>
          <w:rFonts w:ascii="Times New Roman" w:eastAsia="Times New Roman" w:hAnsi="Times New Roman" w:cs="Times New Roman"/>
          <w:color w:val="050505"/>
          <w:sz w:val="27"/>
          <w:szCs w:val="27"/>
          <w:lang w:val="uk-UA" w:eastAsia="ru-RU"/>
        </w:rPr>
        <w:t>розд</w:t>
      </w:r>
      <w:proofErr w:type="spellEnd"/>
      <w:r w:rsidRPr="00E02AC3">
        <w:rPr>
          <w:rFonts w:ascii="Times New Roman" w:eastAsia="Times New Roman" w:hAnsi="Times New Roman" w:cs="Times New Roman"/>
          <w:color w:val="050505"/>
          <w:sz w:val="27"/>
          <w:szCs w:val="27"/>
          <w:lang w:val="uk-UA" w:eastAsia="ru-RU"/>
        </w:rPr>
        <w:t>. XX «Перехідні положення» ПКУ доповнено п. 6 прим. 1, згідно з яким до складу доходу платника єдиного податку першої – третьої груп не включаються суми доходів, отриманих платником податку у вигляді часткової або повної компенсації відсоткових (процентних) ставок, яка виплачується в рамках бюджетної програми «Забезпечення функціонування Фонду розвитку підприємництва» та державної програми впровадження фінансово-кредитних механізмів забезпечення громадян житлом на умовах, визначених Кабінетом Міністрів України, а також суми коштів, отриманих платником податку на безповоротній основі від Фонду розвитку інновацій.</w:t>
      </w:r>
    </w:p>
    <w:bookmarkEnd w:id="1"/>
    <w:p w:rsidR="00E02AC3" w:rsidRDefault="00E02AC3" w:rsidP="00E02AC3">
      <w:pPr>
        <w:tabs>
          <w:tab w:val="num" w:pos="567"/>
        </w:tabs>
        <w:spacing w:after="0" w:line="240" w:lineRule="auto"/>
        <w:ind w:firstLine="567"/>
        <w:jc w:val="both"/>
        <w:rPr>
          <w:rFonts w:ascii="Times New Roman" w:eastAsia="Times New Roman" w:hAnsi="Times New Roman" w:cs="Times New Roman"/>
          <w:sz w:val="27"/>
          <w:szCs w:val="27"/>
          <w:lang w:val="uk-UA" w:eastAsia="ru-RU"/>
        </w:rPr>
      </w:pPr>
    </w:p>
    <w:p w:rsidR="00E02AC3" w:rsidRDefault="00E02AC3"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8755A7" w:rsidRPr="008755A7" w:rsidRDefault="008755A7" w:rsidP="00E02AC3">
      <w:pPr>
        <w:spacing w:after="0" w:line="240" w:lineRule="auto"/>
        <w:jc w:val="both"/>
        <w:rPr>
          <w:rFonts w:ascii="Times New Roman" w:eastAsia="Times New Roman" w:hAnsi="Times New Roman" w:cs="Times New Roman"/>
          <w:sz w:val="27"/>
          <w:szCs w:val="27"/>
          <w:lang w:val="en-US" w:eastAsia="ru-RU"/>
        </w:rPr>
      </w:pPr>
    </w:p>
    <w:p w:rsidR="00E02AC3" w:rsidRDefault="00E02AC3" w:rsidP="00E02AC3">
      <w:pPr>
        <w:spacing w:after="0" w:line="240" w:lineRule="auto"/>
        <w:jc w:val="both"/>
        <w:rPr>
          <w:rFonts w:ascii="Times New Roman" w:eastAsia="Times New Roman" w:hAnsi="Times New Roman" w:cs="Times New Roman"/>
          <w:sz w:val="27"/>
          <w:szCs w:val="27"/>
          <w:lang w:val="uk-UA" w:eastAsia="ru-RU"/>
        </w:rPr>
      </w:pPr>
    </w:p>
    <w:p w:rsidR="00E02AC3" w:rsidRDefault="00E02AC3" w:rsidP="00E02AC3">
      <w:pPr>
        <w:spacing w:after="0" w:line="240" w:lineRule="auto"/>
        <w:jc w:val="both"/>
        <w:rPr>
          <w:rFonts w:ascii="Times New Roman" w:eastAsia="Times New Roman" w:hAnsi="Times New Roman" w:cs="Times New Roman"/>
          <w:sz w:val="27"/>
          <w:szCs w:val="27"/>
          <w:lang w:val="uk-UA" w:eastAsia="ru-RU"/>
        </w:rPr>
      </w:pPr>
    </w:p>
    <w:p w:rsidR="00E02AC3" w:rsidRDefault="00E02AC3" w:rsidP="00E02AC3">
      <w:pPr>
        <w:spacing w:after="0" w:line="240" w:lineRule="auto"/>
        <w:jc w:val="both"/>
        <w:rPr>
          <w:rFonts w:ascii="Times New Roman" w:eastAsia="Times New Roman" w:hAnsi="Times New Roman" w:cs="Times New Roman"/>
          <w:sz w:val="27"/>
          <w:szCs w:val="27"/>
          <w:lang w:val="uk-UA" w:eastAsia="ru-RU"/>
        </w:rPr>
      </w:pPr>
    </w:p>
    <w:p w:rsidR="00E02AC3" w:rsidRDefault="00E02AC3" w:rsidP="00E02AC3">
      <w:pPr>
        <w:spacing w:after="0" w:line="240" w:lineRule="auto"/>
        <w:jc w:val="both"/>
        <w:rPr>
          <w:rFonts w:ascii="Times New Roman" w:eastAsia="Times New Roman" w:hAnsi="Times New Roman" w:cs="Times New Roman"/>
          <w:sz w:val="27"/>
          <w:szCs w:val="27"/>
          <w:lang w:val="uk-UA" w:eastAsia="ru-RU"/>
        </w:rPr>
      </w:pPr>
    </w:p>
    <w:p w:rsidR="00E02AC3" w:rsidRPr="008755A7" w:rsidRDefault="00E02AC3" w:rsidP="00E02AC3">
      <w:pPr>
        <w:spacing w:after="0" w:line="240" w:lineRule="auto"/>
        <w:jc w:val="both"/>
        <w:rPr>
          <w:rFonts w:ascii="Times New Roman" w:hAnsi="Times New Roman" w:cs="Times New Roman"/>
          <w:sz w:val="20"/>
          <w:szCs w:val="20"/>
          <w:lang w:val="uk-UA"/>
        </w:rPr>
      </w:pPr>
      <w:r w:rsidRPr="008755A7">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8755A7">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8755A7">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8755A7">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8755A7">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8755A7">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8755A7">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4A64BE" w:rsidRPr="00E02AC3" w:rsidRDefault="00E02AC3" w:rsidP="00E02AC3">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4A64BE" w:rsidRPr="00E02AC3"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199"/>
    <w:rsid w:val="004A64BE"/>
    <w:rsid w:val="00751448"/>
    <w:rsid w:val="00796199"/>
    <w:rsid w:val="008755A7"/>
    <w:rsid w:val="00E02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2A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2AC3"/>
    <w:rPr>
      <w:rFonts w:ascii="Tahoma" w:hAnsi="Tahoma" w:cs="Tahoma"/>
      <w:sz w:val="16"/>
      <w:szCs w:val="16"/>
    </w:rPr>
  </w:style>
  <w:style w:type="character" w:customStyle="1" w:styleId="z-label">
    <w:name w:val="z-label"/>
    <w:basedOn w:val="a0"/>
    <w:rsid w:val="00E02AC3"/>
  </w:style>
  <w:style w:type="character" w:styleId="a5">
    <w:name w:val="Hyperlink"/>
    <w:uiPriority w:val="99"/>
    <w:rsid w:val="00E02AC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2A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2AC3"/>
    <w:rPr>
      <w:rFonts w:ascii="Tahoma" w:hAnsi="Tahoma" w:cs="Tahoma"/>
      <w:sz w:val="16"/>
      <w:szCs w:val="16"/>
    </w:rPr>
  </w:style>
  <w:style w:type="character" w:customStyle="1" w:styleId="z-label">
    <w:name w:val="z-label"/>
    <w:basedOn w:val="a0"/>
    <w:rsid w:val="00E02AC3"/>
  </w:style>
  <w:style w:type="character" w:styleId="a5">
    <w:name w:val="Hyperlink"/>
    <w:uiPriority w:val="99"/>
    <w:rsid w:val="00E02A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106142">
      <w:bodyDiv w:val="1"/>
      <w:marLeft w:val="0"/>
      <w:marRight w:val="0"/>
      <w:marTop w:val="0"/>
      <w:marBottom w:val="0"/>
      <w:divBdr>
        <w:top w:val="none" w:sz="0" w:space="0" w:color="auto"/>
        <w:left w:val="none" w:sz="0" w:space="0" w:color="auto"/>
        <w:bottom w:val="none" w:sz="0" w:space="0" w:color="auto"/>
        <w:right w:val="none" w:sz="0" w:space="0" w:color="auto"/>
      </w:divBdr>
      <w:divsChild>
        <w:div w:id="167333382">
          <w:marLeft w:val="0"/>
          <w:marRight w:val="0"/>
          <w:marTop w:val="0"/>
          <w:marBottom w:val="0"/>
          <w:divBdr>
            <w:top w:val="none" w:sz="0" w:space="0" w:color="auto"/>
            <w:left w:val="none" w:sz="0" w:space="0" w:color="auto"/>
            <w:bottom w:val="none" w:sz="0" w:space="0" w:color="auto"/>
            <w:right w:val="none" w:sz="0" w:space="0" w:color="auto"/>
          </w:divBdr>
        </w:div>
        <w:div w:id="2098821651">
          <w:marLeft w:val="0"/>
          <w:marRight w:val="0"/>
          <w:marTop w:val="120"/>
          <w:marBottom w:val="0"/>
          <w:divBdr>
            <w:top w:val="none" w:sz="0" w:space="0" w:color="auto"/>
            <w:left w:val="none" w:sz="0" w:space="0" w:color="auto"/>
            <w:bottom w:val="none" w:sz="0" w:space="0" w:color="auto"/>
            <w:right w:val="none" w:sz="0" w:space="0" w:color="auto"/>
          </w:divBdr>
          <w:divsChild>
            <w:div w:id="1384211286">
              <w:marLeft w:val="0"/>
              <w:marRight w:val="0"/>
              <w:marTop w:val="0"/>
              <w:marBottom w:val="0"/>
              <w:divBdr>
                <w:top w:val="none" w:sz="0" w:space="0" w:color="auto"/>
                <w:left w:val="none" w:sz="0" w:space="0" w:color="auto"/>
                <w:bottom w:val="none" w:sz="0" w:space="0" w:color="auto"/>
                <w:right w:val="none" w:sz="0" w:space="0" w:color="auto"/>
              </w:divBdr>
            </w:div>
          </w:divsChild>
        </w:div>
        <w:div w:id="1036124424">
          <w:marLeft w:val="0"/>
          <w:marRight w:val="0"/>
          <w:marTop w:val="120"/>
          <w:marBottom w:val="0"/>
          <w:divBdr>
            <w:top w:val="none" w:sz="0" w:space="0" w:color="auto"/>
            <w:left w:val="none" w:sz="0" w:space="0" w:color="auto"/>
            <w:bottom w:val="none" w:sz="0" w:space="0" w:color="auto"/>
            <w:right w:val="none" w:sz="0" w:space="0" w:color="auto"/>
          </w:divBdr>
          <w:divsChild>
            <w:div w:id="1400326004">
              <w:marLeft w:val="0"/>
              <w:marRight w:val="0"/>
              <w:marTop w:val="0"/>
              <w:marBottom w:val="0"/>
              <w:divBdr>
                <w:top w:val="none" w:sz="0" w:space="0" w:color="auto"/>
                <w:left w:val="none" w:sz="0" w:space="0" w:color="auto"/>
                <w:bottom w:val="none" w:sz="0" w:space="0" w:color="auto"/>
                <w:right w:val="none" w:sz="0" w:space="0" w:color="auto"/>
              </w:divBdr>
            </w:div>
          </w:divsChild>
        </w:div>
        <w:div w:id="1771199869">
          <w:marLeft w:val="0"/>
          <w:marRight w:val="0"/>
          <w:marTop w:val="120"/>
          <w:marBottom w:val="0"/>
          <w:divBdr>
            <w:top w:val="none" w:sz="0" w:space="0" w:color="auto"/>
            <w:left w:val="none" w:sz="0" w:space="0" w:color="auto"/>
            <w:bottom w:val="none" w:sz="0" w:space="0" w:color="auto"/>
            <w:right w:val="none" w:sz="0" w:space="0" w:color="auto"/>
          </w:divBdr>
          <w:divsChild>
            <w:div w:id="372582078">
              <w:marLeft w:val="0"/>
              <w:marRight w:val="0"/>
              <w:marTop w:val="0"/>
              <w:marBottom w:val="0"/>
              <w:divBdr>
                <w:top w:val="none" w:sz="0" w:space="0" w:color="auto"/>
                <w:left w:val="none" w:sz="0" w:space="0" w:color="auto"/>
                <w:bottom w:val="none" w:sz="0" w:space="0" w:color="auto"/>
                <w:right w:val="none" w:sz="0" w:space="0" w:color="auto"/>
              </w:divBdr>
            </w:div>
          </w:divsChild>
        </w:div>
        <w:div w:id="1456674119">
          <w:marLeft w:val="0"/>
          <w:marRight w:val="0"/>
          <w:marTop w:val="120"/>
          <w:marBottom w:val="0"/>
          <w:divBdr>
            <w:top w:val="none" w:sz="0" w:space="0" w:color="auto"/>
            <w:left w:val="none" w:sz="0" w:space="0" w:color="auto"/>
            <w:bottom w:val="none" w:sz="0" w:space="0" w:color="auto"/>
            <w:right w:val="none" w:sz="0" w:space="0" w:color="auto"/>
          </w:divBdr>
          <w:divsChild>
            <w:div w:id="623073138">
              <w:marLeft w:val="0"/>
              <w:marRight w:val="0"/>
              <w:marTop w:val="0"/>
              <w:marBottom w:val="0"/>
              <w:divBdr>
                <w:top w:val="none" w:sz="0" w:space="0" w:color="auto"/>
                <w:left w:val="none" w:sz="0" w:space="0" w:color="auto"/>
                <w:bottom w:val="none" w:sz="0" w:space="0" w:color="auto"/>
                <w:right w:val="none" w:sz="0" w:space="0" w:color="auto"/>
              </w:divBdr>
            </w:div>
          </w:divsChild>
        </w:div>
        <w:div w:id="2063286696">
          <w:marLeft w:val="0"/>
          <w:marRight w:val="0"/>
          <w:marTop w:val="120"/>
          <w:marBottom w:val="0"/>
          <w:divBdr>
            <w:top w:val="none" w:sz="0" w:space="0" w:color="auto"/>
            <w:left w:val="none" w:sz="0" w:space="0" w:color="auto"/>
            <w:bottom w:val="none" w:sz="0" w:space="0" w:color="auto"/>
            <w:right w:val="none" w:sz="0" w:space="0" w:color="auto"/>
          </w:divBdr>
          <w:divsChild>
            <w:div w:id="1584101034">
              <w:marLeft w:val="0"/>
              <w:marRight w:val="0"/>
              <w:marTop w:val="0"/>
              <w:marBottom w:val="0"/>
              <w:divBdr>
                <w:top w:val="none" w:sz="0" w:space="0" w:color="auto"/>
                <w:left w:val="none" w:sz="0" w:space="0" w:color="auto"/>
                <w:bottom w:val="none" w:sz="0" w:space="0" w:color="auto"/>
                <w:right w:val="none" w:sz="0" w:space="0" w:color="auto"/>
              </w:divBdr>
            </w:div>
          </w:divsChild>
        </w:div>
        <w:div w:id="1111049343">
          <w:marLeft w:val="0"/>
          <w:marRight w:val="0"/>
          <w:marTop w:val="120"/>
          <w:marBottom w:val="0"/>
          <w:divBdr>
            <w:top w:val="none" w:sz="0" w:space="0" w:color="auto"/>
            <w:left w:val="none" w:sz="0" w:space="0" w:color="auto"/>
            <w:bottom w:val="none" w:sz="0" w:space="0" w:color="auto"/>
            <w:right w:val="none" w:sz="0" w:space="0" w:color="auto"/>
          </w:divBdr>
          <w:divsChild>
            <w:div w:id="1510636100">
              <w:marLeft w:val="0"/>
              <w:marRight w:val="0"/>
              <w:marTop w:val="0"/>
              <w:marBottom w:val="0"/>
              <w:divBdr>
                <w:top w:val="none" w:sz="0" w:space="0" w:color="auto"/>
                <w:left w:val="none" w:sz="0" w:space="0" w:color="auto"/>
                <w:bottom w:val="none" w:sz="0" w:space="0" w:color="auto"/>
                <w:right w:val="none" w:sz="0" w:space="0" w:color="auto"/>
              </w:divBdr>
            </w:div>
          </w:divsChild>
        </w:div>
        <w:div w:id="103619104">
          <w:marLeft w:val="0"/>
          <w:marRight w:val="0"/>
          <w:marTop w:val="120"/>
          <w:marBottom w:val="0"/>
          <w:divBdr>
            <w:top w:val="none" w:sz="0" w:space="0" w:color="auto"/>
            <w:left w:val="none" w:sz="0" w:space="0" w:color="auto"/>
            <w:bottom w:val="none" w:sz="0" w:space="0" w:color="auto"/>
            <w:right w:val="none" w:sz="0" w:space="0" w:color="auto"/>
          </w:divBdr>
          <w:divsChild>
            <w:div w:id="1345594274">
              <w:marLeft w:val="0"/>
              <w:marRight w:val="0"/>
              <w:marTop w:val="0"/>
              <w:marBottom w:val="0"/>
              <w:divBdr>
                <w:top w:val="none" w:sz="0" w:space="0" w:color="auto"/>
                <w:left w:val="none" w:sz="0" w:space="0" w:color="auto"/>
                <w:bottom w:val="none" w:sz="0" w:space="0" w:color="auto"/>
                <w:right w:val="none" w:sz="0" w:space="0" w:color="auto"/>
              </w:divBdr>
            </w:div>
          </w:divsChild>
        </w:div>
        <w:div w:id="1869415882">
          <w:marLeft w:val="0"/>
          <w:marRight w:val="0"/>
          <w:marTop w:val="120"/>
          <w:marBottom w:val="0"/>
          <w:divBdr>
            <w:top w:val="none" w:sz="0" w:space="0" w:color="auto"/>
            <w:left w:val="none" w:sz="0" w:space="0" w:color="auto"/>
            <w:bottom w:val="none" w:sz="0" w:space="0" w:color="auto"/>
            <w:right w:val="none" w:sz="0" w:space="0" w:color="auto"/>
          </w:divBdr>
          <w:divsChild>
            <w:div w:id="1369839767">
              <w:marLeft w:val="0"/>
              <w:marRight w:val="0"/>
              <w:marTop w:val="0"/>
              <w:marBottom w:val="0"/>
              <w:divBdr>
                <w:top w:val="none" w:sz="0" w:space="0" w:color="auto"/>
                <w:left w:val="none" w:sz="0" w:space="0" w:color="auto"/>
                <w:bottom w:val="none" w:sz="0" w:space="0" w:color="auto"/>
                <w:right w:val="none" w:sz="0" w:space="0" w:color="auto"/>
              </w:divBdr>
            </w:div>
          </w:divsChild>
        </w:div>
        <w:div w:id="1525753842">
          <w:marLeft w:val="0"/>
          <w:marRight w:val="0"/>
          <w:marTop w:val="120"/>
          <w:marBottom w:val="0"/>
          <w:divBdr>
            <w:top w:val="none" w:sz="0" w:space="0" w:color="auto"/>
            <w:left w:val="none" w:sz="0" w:space="0" w:color="auto"/>
            <w:bottom w:val="none" w:sz="0" w:space="0" w:color="auto"/>
            <w:right w:val="none" w:sz="0" w:space="0" w:color="auto"/>
          </w:divBdr>
          <w:divsChild>
            <w:div w:id="493886248">
              <w:marLeft w:val="0"/>
              <w:marRight w:val="0"/>
              <w:marTop w:val="0"/>
              <w:marBottom w:val="0"/>
              <w:divBdr>
                <w:top w:val="none" w:sz="0" w:space="0" w:color="auto"/>
                <w:left w:val="none" w:sz="0" w:space="0" w:color="auto"/>
                <w:bottom w:val="none" w:sz="0" w:space="0" w:color="auto"/>
                <w:right w:val="none" w:sz="0" w:space="0" w:color="auto"/>
              </w:divBdr>
            </w:div>
          </w:divsChild>
        </w:div>
        <w:div w:id="1917125173">
          <w:marLeft w:val="0"/>
          <w:marRight w:val="0"/>
          <w:marTop w:val="120"/>
          <w:marBottom w:val="0"/>
          <w:divBdr>
            <w:top w:val="none" w:sz="0" w:space="0" w:color="auto"/>
            <w:left w:val="none" w:sz="0" w:space="0" w:color="auto"/>
            <w:bottom w:val="none" w:sz="0" w:space="0" w:color="auto"/>
            <w:right w:val="none" w:sz="0" w:space="0" w:color="auto"/>
          </w:divBdr>
          <w:divsChild>
            <w:div w:id="2011252771">
              <w:marLeft w:val="0"/>
              <w:marRight w:val="0"/>
              <w:marTop w:val="0"/>
              <w:marBottom w:val="0"/>
              <w:divBdr>
                <w:top w:val="none" w:sz="0" w:space="0" w:color="auto"/>
                <w:left w:val="none" w:sz="0" w:space="0" w:color="auto"/>
                <w:bottom w:val="none" w:sz="0" w:space="0" w:color="auto"/>
                <w:right w:val="none" w:sz="0" w:space="0" w:color="auto"/>
              </w:divBdr>
            </w:div>
          </w:divsChild>
        </w:div>
        <w:div w:id="1436906091">
          <w:marLeft w:val="0"/>
          <w:marRight w:val="0"/>
          <w:marTop w:val="120"/>
          <w:marBottom w:val="0"/>
          <w:divBdr>
            <w:top w:val="none" w:sz="0" w:space="0" w:color="auto"/>
            <w:left w:val="none" w:sz="0" w:space="0" w:color="auto"/>
            <w:bottom w:val="none" w:sz="0" w:space="0" w:color="auto"/>
            <w:right w:val="none" w:sz="0" w:space="0" w:color="auto"/>
          </w:divBdr>
          <w:divsChild>
            <w:div w:id="1129667749">
              <w:marLeft w:val="0"/>
              <w:marRight w:val="0"/>
              <w:marTop w:val="0"/>
              <w:marBottom w:val="0"/>
              <w:divBdr>
                <w:top w:val="none" w:sz="0" w:space="0" w:color="auto"/>
                <w:left w:val="none" w:sz="0" w:space="0" w:color="auto"/>
                <w:bottom w:val="none" w:sz="0" w:space="0" w:color="auto"/>
                <w:right w:val="none" w:sz="0" w:space="0" w:color="auto"/>
              </w:divBdr>
            </w:div>
          </w:divsChild>
        </w:div>
        <w:div w:id="1583025310">
          <w:marLeft w:val="0"/>
          <w:marRight w:val="0"/>
          <w:marTop w:val="120"/>
          <w:marBottom w:val="0"/>
          <w:divBdr>
            <w:top w:val="none" w:sz="0" w:space="0" w:color="auto"/>
            <w:left w:val="none" w:sz="0" w:space="0" w:color="auto"/>
            <w:bottom w:val="none" w:sz="0" w:space="0" w:color="auto"/>
            <w:right w:val="none" w:sz="0" w:space="0" w:color="auto"/>
          </w:divBdr>
          <w:divsChild>
            <w:div w:id="511603692">
              <w:marLeft w:val="0"/>
              <w:marRight w:val="0"/>
              <w:marTop w:val="0"/>
              <w:marBottom w:val="0"/>
              <w:divBdr>
                <w:top w:val="none" w:sz="0" w:space="0" w:color="auto"/>
                <w:left w:val="none" w:sz="0" w:space="0" w:color="auto"/>
                <w:bottom w:val="none" w:sz="0" w:space="0" w:color="auto"/>
                <w:right w:val="none" w:sz="0" w:space="0" w:color="auto"/>
              </w:divBdr>
            </w:div>
          </w:divsChild>
        </w:div>
        <w:div w:id="2510763">
          <w:marLeft w:val="0"/>
          <w:marRight w:val="0"/>
          <w:marTop w:val="120"/>
          <w:marBottom w:val="0"/>
          <w:divBdr>
            <w:top w:val="none" w:sz="0" w:space="0" w:color="auto"/>
            <w:left w:val="none" w:sz="0" w:space="0" w:color="auto"/>
            <w:bottom w:val="none" w:sz="0" w:space="0" w:color="auto"/>
            <w:right w:val="none" w:sz="0" w:space="0" w:color="auto"/>
          </w:divBdr>
          <w:divsChild>
            <w:div w:id="14601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3129</Words>
  <Characters>1785</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2022-09-26T13:50:00Z</dcterms:created>
  <dcterms:modified xsi:type="dcterms:W3CDTF">2022-09-29T06:53:00Z</dcterms:modified>
</cp:coreProperties>
</file>